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54" w:rsidRPr="00B16CEC" w:rsidRDefault="00C66A54" w:rsidP="00C66A54">
      <w:pPr>
        <w:rPr>
          <w:sz w:val="28"/>
          <w:szCs w:val="28"/>
          <w:lang w:val="en-GB"/>
        </w:rPr>
      </w:pPr>
      <w:r w:rsidRPr="00B16C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BE19" wp14:editId="70A68837">
                <wp:simplePos x="0" y="0"/>
                <wp:positionH relativeFrom="column">
                  <wp:posOffset>4352511</wp:posOffset>
                </wp:positionH>
                <wp:positionV relativeFrom="paragraph">
                  <wp:posOffset>-587016</wp:posOffset>
                </wp:positionV>
                <wp:extent cx="2074959" cy="874643"/>
                <wp:effectExtent l="0" t="0" r="20955" b="2095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959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FC" w:rsidRPr="000B11B8" w:rsidRDefault="00DA4289" w:rsidP="001B68B4">
                            <w:pPr>
                              <w:pStyle w:val="Ingenafstand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da-DK"/>
                              </w:rPr>
                              <w:drawing>
                                <wp:inline distT="0" distB="0" distL="0" distR="0">
                                  <wp:extent cx="1882775" cy="461885"/>
                                  <wp:effectExtent l="0" t="0" r="3175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775" cy="46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42.7pt;margin-top:-46.2pt;width:163.4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">
                <v:textbox>
                  <w:txbxContent>
                    <w:p w:rsidR="007C3DFC" w:rsidRPr="000B11B8" w:rsidRDefault="00DA4289" w:rsidP="001B68B4">
                      <w:pPr>
                        <w:pStyle w:val="Ingenafstand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noProof/>
                          <w:lang w:eastAsia="da-DK"/>
                        </w:rPr>
                        <w:drawing>
                          <wp:inline distT="0" distB="0" distL="0" distR="0">
                            <wp:extent cx="1882775" cy="461885"/>
                            <wp:effectExtent l="0" t="0" r="3175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775" cy="46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A8E" w:rsidRPr="00B16CEC" w:rsidRDefault="00BC4762" w:rsidP="00C45A8E">
      <w:pPr>
        <w:jc w:val="center"/>
        <w:rPr>
          <w:b/>
          <w:sz w:val="28"/>
          <w:szCs w:val="28"/>
          <w:lang w:val="en-GB"/>
        </w:rPr>
      </w:pPr>
      <w:r w:rsidRPr="00B16CEC">
        <w:rPr>
          <w:b/>
          <w:sz w:val="28"/>
          <w:szCs w:val="28"/>
          <w:lang w:val="en-GB"/>
        </w:rPr>
        <w:t>DECLARATION OF PERFORMANCE</w:t>
      </w:r>
    </w:p>
    <w:p w:rsidR="00586675" w:rsidRPr="00B16CEC" w:rsidRDefault="00586675" w:rsidP="00586675">
      <w:pPr>
        <w:jc w:val="center"/>
        <w:rPr>
          <w:b/>
          <w:lang w:val="en-GB"/>
        </w:rPr>
      </w:pPr>
      <w:r w:rsidRPr="00B16CEC">
        <w:rPr>
          <w:b/>
          <w:lang w:val="en-GB"/>
        </w:rPr>
        <w:t>N</w:t>
      </w:r>
      <w:r w:rsidR="00BC4762" w:rsidRPr="00B16CEC">
        <w:rPr>
          <w:b/>
          <w:lang w:val="en-GB"/>
        </w:rPr>
        <w:t>o</w:t>
      </w:r>
      <w:r w:rsidRPr="00B16CEC">
        <w:rPr>
          <w:b/>
          <w:lang w:val="en-GB"/>
        </w:rPr>
        <w:t xml:space="preserve">. </w:t>
      </w:r>
      <w:r w:rsidR="00DA4289">
        <w:rPr>
          <w:rFonts w:ascii="Tahoma" w:eastAsia="Times New Roman" w:hAnsi="Tahoma" w:cs="Tahoma"/>
          <w:b/>
          <w:sz w:val="20"/>
          <w:szCs w:val="20"/>
          <w:lang w:val="en-GB" w:eastAsia="da-DK"/>
        </w:rPr>
        <w:t>MIK 000</w:t>
      </w:r>
      <w:r w:rsidR="00FE1B31">
        <w:rPr>
          <w:rFonts w:ascii="Tahoma" w:eastAsia="Times New Roman" w:hAnsi="Tahoma" w:cs="Tahoma"/>
          <w:b/>
          <w:sz w:val="20"/>
          <w:szCs w:val="20"/>
          <w:lang w:val="en-GB" w:eastAsia="da-DK"/>
        </w:rPr>
        <w:t>6</w:t>
      </w:r>
    </w:p>
    <w:p w:rsidR="00056D9F" w:rsidRPr="00B16CEC" w:rsidRDefault="00056D9F" w:rsidP="00056D9F">
      <w:pPr>
        <w:rPr>
          <w:lang w:val="en-GB"/>
        </w:rPr>
      </w:pPr>
      <w:r w:rsidRPr="00B16CEC">
        <w:rPr>
          <w:b/>
          <w:lang w:val="en-GB"/>
        </w:rPr>
        <w:t>1.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Unique identification code of the product-type:</w:t>
      </w:r>
    </w:p>
    <w:p w:rsidR="00586675" w:rsidRPr="00B16CEC" w:rsidRDefault="00A538AB" w:rsidP="002B2CAC">
      <w:pPr>
        <w:jc w:val="center"/>
        <w:rPr>
          <w:b/>
          <w:lang w:val="en-GB"/>
        </w:rPr>
      </w:pPr>
      <w:r>
        <w:rPr>
          <w:rFonts w:ascii="Tahoma" w:eastAsia="Times New Roman" w:hAnsi="Tahoma" w:cs="Tahoma"/>
          <w:b/>
          <w:sz w:val="20"/>
          <w:szCs w:val="20"/>
          <w:lang w:val="en-GB" w:eastAsia="da-DK"/>
        </w:rPr>
        <w:t>BRUSEVÆG 80CM</w:t>
      </w:r>
      <w:bookmarkStart w:id="0" w:name="_GoBack"/>
      <w:bookmarkEnd w:id="0"/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2.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Type, batch or serial number or any other element allowing identification of the construction product</w:t>
      </w:r>
      <w:r w:rsidR="00DC0693" w:rsidRPr="00B16CEC">
        <w:rPr>
          <w:lang w:val="en-GB"/>
        </w:rPr>
        <w:t>:</w:t>
      </w:r>
      <w:r w:rsidR="00C45A8E" w:rsidRPr="00B16CEC">
        <w:rPr>
          <w:lang w:val="en-GB"/>
        </w:rPr>
        <w:t xml:space="preserve"> </w:t>
      </w:r>
    </w:p>
    <w:p w:rsidR="00185663" w:rsidRPr="00A538AB" w:rsidRDefault="00185663" w:rsidP="00185663">
      <w:pPr>
        <w:jc w:val="center"/>
        <w:rPr>
          <w:b/>
          <w:lang w:val="en-US"/>
        </w:rPr>
      </w:pPr>
      <w:r w:rsidRPr="00A538AB">
        <w:rPr>
          <w:b/>
          <w:lang w:val="en-US"/>
        </w:rPr>
        <w:t>200100314124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3.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Intended use or uses of the construction product</w:t>
      </w:r>
      <w:r w:rsidRPr="00B16CEC">
        <w:rPr>
          <w:lang w:val="en-GB"/>
        </w:rPr>
        <w:t>:</w:t>
      </w:r>
    </w:p>
    <w:p w:rsidR="00220D78" w:rsidRPr="00B16CEC" w:rsidRDefault="00410DDA" w:rsidP="00220D78">
      <w:pPr>
        <w:jc w:val="center"/>
        <w:rPr>
          <w:b/>
          <w:lang w:val="en-GB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Shower enclosure for </w:t>
      </w:r>
      <w:r w:rsidR="00E70CE2">
        <w:rPr>
          <w:rFonts w:ascii="Tahoma" w:eastAsia="Times New Roman" w:hAnsi="Tahoma" w:cs="Tahoma"/>
          <w:b/>
          <w:sz w:val="20"/>
          <w:szCs w:val="20"/>
          <w:lang w:val="en-GB" w:eastAsia="da-DK"/>
        </w:rPr>
        <w:t>personal hygiene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4.</w:t>
      </w:r>
      <w:r w:rsidRPr="00B16CEC">
        <w:rPr>
          <w:lang w:val="en-GB"/>
        </w:rPr>
        <w:t xml:space="preserve"> </w:t>
      </w:r>
      <w:r w:rsidR="00C73D44" w:rsidRPr="00B16CEC">
        <w:rPr>
          <w:rFonts w:ascii="Tahoma" w:hAnsi="Tahoma" w:cs="Tahoma"/>
          <w:sz w:val="20"/>
          <w:szCs w:val="20"/>
          <w:lang w:val="en-GB"/>
        </w:rPr>
        <w:t>Name</w:t>
      </w:r>
      <w:r w:rsidR="00C73D44">
        <w:rPr>
          <w:rFonts w:ascii="Tahoma" w:hAnsi="Tahoma" w:cs="Tahoma"/>
          <w:sz w:val="20"/>
          <w:szCs w:val="20"/>
          <w:lang w:val="en-GB"/>
        </w:rPr>
        <w:t>,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registered trade name or registered trade mark and contact address</w:t>
      </w:r>
      <w:r w:rsidRPr="00B16CEC">
        <w:rPr>
          <w:lang w:val="en-GB"/>
        </w:rPr>
        <w:t>:</w:t>
      </w:r>
    </w:p>
    <w:p w:rsidR="00220D78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Mikelo A/S</w:t>
      </w:r>
      <w:r w:rsidR="003E000D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</w:t>
      </w:r>
    </w:p>
    <w:p w:rsidR="003E000D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Grenaavej</w:t>
      </w:r>
      <w:proofErr w:type="spellEnd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629, DK-8541 </w:t>
      </w: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Skoedstrup</w:t>
      </w:r>
      <w:proofErr w:type="spellEnd"/>
    </w:p>
    <w:p w:rsidR="003E000D" w:rsidRPr="00DA4289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D</w:t>
      </w:r>
      <w:r w:rsidR="00410DDA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e</w:t>
      </w: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nmark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5.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Where applicable, name and contact address of the authorized representative</w:t>
      </w:r>
      <w:r w:rsidRPr="00B16CEC">
        <w:rPr>
          <w:lang w:val="en-GB"/>
        </w:rPr>
        <w:t>:</w:t>
      </w:r>
    </w:p>
    <w:p w:rsidR="00220D78" w:rsidRPr="00410DDA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6.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System or systems of assessment and verification of constancy of performance</w:t>
      </w:r>
      <w:r w:rsidR="00FE79B3" w:rsidRPr="00B16CEC">
        <w:rPr>
          <w:lang w:val="en-GB"/>
        </w:rPr>
        <w:t xml:space="preserve"> (AVCP)</w:t>
      </w:r>
      <w:r w:rsidRPr="00B16CEC">
        <w:rPr>
          <w:lang w:val="en-GB"/>
        </w:rPr>
        <w:t>:</w:t>
      </w:r>
    </w:p>
    <w:p w:rsidR="00783849" w:rsidRPr="00410DDA" w:rsidRDefault="003E000D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586675" w:rsidRPr="00B16CEC" w:rsidRDefault="00586675" w:rsidP="00D53BA9">
      <w:pPr>
        <w:rPr>
          <w:rFonts w:ascii="Tahoma" w:hAnsi="Tahoma" w:cs="Tahoma"/>
          <w:sz w:val="20"/>
          <w:szCs w:val="20"/>
          <w:lang w:val="en-GB"/>
        </w:rPr>
      </w:pPr>
      <w:r w:rsidRPr="00B16CEC">
        <w:rPr>
          <w:b/>
          <w:lang w:val="en-GB"/>
        </w:rPr>
        <w:t>7.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Harmoni</w:t>
      </w:r>
      <w:r w:rsidR="007C3DFC">
        <w:rPr>
          <w:rFonts w:ascii="Tahoma" w:hAnsi="Tahoma" w:cs="Tahoma"/>
          <w:sz w:val="20"/>
          <w:szCs w:val="20"/>
          <w:lang w:val="en-GB"/>
        </w:rPr>
        <w:t>s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ed standard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N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>otifie</w:t>
      </w:r>
      <w:r w:rsidR="00B16CEC" w:rsidRPr="00B16CEC">
        <w:rPr>
          <w:rFonts w:ascii="Tahoma" w:hAnsi="Tahoma" w:cs="Tahoma"/>
          <w:sz w:val="20"/>
          <w:szCs w:val="20"/>
          <w:lang w:val="en-GB"/>
        </w:rPr>
        <w:t>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Body</w:t>
      </w:r>
      <w:r w:rsidR="00947DB5" w:rsidRPr="00B16CEC">
        <w:rPr>
          <w:rFonts w:ascii="Tahoma" w:hAnsi="Tahoma" w:cs="Tahoma"/>
          <w:sz w:val="20"/>
          <w:szCs w:val="20"/>
          <w:lang w:val="en-GB"/>
        </w:rPr>
        <w:t>:</w:t>
      </w:r>
    </w:p>
    <w:p w:rsidR="00CC72A9" w:rsidRPr="00410DDA" w:rsidRDefault="00CC72A9" w:rsidP="00CC72A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EN 14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428</w:t>
      </w:r>
      <w:r w:rsidR="000D2992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:200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+ A1:20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08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</w:t>
      </w:r>
    </w:p>
    <w:p w:rsidR="005F0DA3" w:rsidRPr="00410DDA" w:rsidRDefault="00410DDA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Shower enclosures – Functional requirements and test methods</w:t>
      </w:r>
      <w:r w:rsidR="00C73D44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.</w:t>
      </w:r>
    </w:p>
    <w:p w:rsidR="008C5B3F" w:rsidRPr="00410DDA" w:rsidRDefault="008C5B3F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</w:p>
    <w:p w:rsidR="00783849" w:rsidRPr="00410DDA" w:rsidRDefault="00410DDA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No Notified Body involved</w:t>
      </w:r>
    </w:p>
    <w:p w:rsidR="00F8373D" w:rsidRPr="00B16CEC" w:rsidRDefault="00B16CEC" w:rsidP="00586675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has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performed </w:t>
      </w:r>
      <w:r w:rsidR="00586675" w:rsidRPr="00B16CEC">
        <w:rPr>
          <w:lang w:val="en-GB"/>
        </w:rPr>
        <w:t xml:space="preserve"> </w:t>
      </w:r>
    </w:p>
    <w:p w:rsidR="00A46586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F8373D" w:rsidRPr="00B16CEC" w:rsidRDefault="00BC4762" w:rsidP="00586675">
      <w:pPr>
        <w:rPr>
          <w:b/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under system </w:t>
      </w:r>
      <w:r w:rsidR="00C621F9" w:rsidRPr="00B16CEC">
        <w:rPr>
          <w:lang w:val="en-GB"/>
        </w:rPr>
        <w:t xml:space="preserve"> </w:t>
      </w:r>
    </w:p>
    <w:p w:rsidR="004D7DD7" w:rsidRPr="00410DDA" w:rsidRDefault="005B1752" w:rsidP="004D7DD7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8C5B3F" w:rsidRDefault="008C5B3F" w:rsidP="004D7DD7">
      <w:pPr>
        <w:jc w:val="center"/>
        <w:rPr>
          <w:b/>
          <w:lang w:val="en-GB"/>
        </w:rPr>
      </w:pPr>
    </w:p>
    <w:p w:rsidR="00410DDA" w:rsidRPr="00B16CEC" w:rsidRDefault="00410DDA" w:rsidP="004D7DD7">
      <w:pPr>
        <w:jc w:val="center"/>
        <w:rPr>
          <w:b/>
          <w:lang w:val="en-GB"/>
        </w:rPr>
      </w:pPr>
    </w:p>
    <w:p w:rsidR="005060FC" w:rsidRPr="00B16CEC" w:rsidRDefault="00B16CEC" w:rsidP="005B1752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lastRenderedPageBreak/>
        <w:t>and issued</w:t>
      </w:r>
      <w:r w:rsidR="00C621F9" w:rsidRPr="00B16CEC">
        <w:rPr>
          <w:lang w:val="en-GB"/>
        </w:rPr>
        <w:t>:</w:t>
      </w:r>
    </w:p>
    <w:p w:rsidR="005B1752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7C3DFC" w:rsidRDefault="007C3DFC" w:rsidP="000B11B8">
      <w:pPr>
        <w:rPr>
          <w:b/>
          <w:lang w:val="en-GB"/>
        </w:rPr>
      </w:pPr>
    </w:p>
    <w:p w:rsidR="007C3DFC" w:rsidRPr="00B16CEC" w:rsidRDefault="007C3DFC" w:rsidP="007C3DFC">
      <w:pPr>
        <w:rPr>
          <w:rFonts w:ascii="Tahoma" w:hAnsi="Tahoma" w:cs="Tahoma"/>
          <w:sz w:val="20"/>
          <w:szCs w:val="20"/>
          <w:lang w:val="en-GB"/>
        </w:rPr>
      </w:pPr>
      <w:r>
        <w:rPr>
          <w:b/>
          <w:lang w:val="en-GB"/>
        </w:rPr>
        <w:t>8</w:t>
      </w:r>
      <w:r w:rsidRPr="00B16CEC">
        <w:rPr>
          <w:b/>
          <w:lang w:val="en-GB"/>
        </w:rPr>
        <w:t>.</w:t>
      </w:r>
      <w:r w:rsidRPr="00B16CEC">
        <w:rPr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"/>
        </w:rPr>
        <w:t xml:space="preserve">European Technical Assessment </w:t>
      </w:r>
      <w:r w:rsidRPr="00B16CEC">
        <w:rPr>
          <w:rFonts w:ascii="Tahoma" w:hAnsi="Tahoma" w:cs="Tahoma"/>
          <w:sz w:val="20"/>
          <w:szCs w:val="20"/>
          <w:lang w:val="en-GB"/>
        </w:rPr>
        <w:t>&amp; Notified Body:</w:t>
      </w:r>
    </w:p>
    <w:p w:rsidR="007C3DFC" w:rsidRPr="00410DDA" w:rsidRDefault="007C3DFC" w:rsidP="007C3DFC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n/a </w:t>
      </w:r>
    </w:p>
    <w:p w:rsidR="00F759C1" w:rsidRPr="00B16CEC" w:rsidRDefault="00B16CEC" w:rsidP="000B11B8">
      <w:pPr>
        <w:rPr>
          <w:lang w:val="en-GB"/>
        </w:rPr>
      </w:pPr>
      <w:r w:rsidRPr="00B16CEC">
        <w:rPr>
          <w:b/>
          <w:lang w:val="en-GB"/>
        </w:rPr>
        <w:t>9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hAnsi="Tahoma" w:cs="Tahoma"/>
          <w:sz w:val="20"/>
          <w:szCs w:val="20"/>
          <w:lang w:val="en-GB"/>
        </w:rPr>
        <w:t>Declared performance</w:t>
      </w:r>
      <w:r w:rsidR="00586675" w:rsidRPr="00B16CEC">
        <w:rPr>
          <w:sz w:val="18"/>
          <w:szCs w:val="18"/>
          <w:lang w:val="en-GB"/>
        </w:rPr>
        <w:t xml:space="preserve"> </w:t>
      </w:r>
    </w:p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4644"/>
        <w:gridCol w:w="2268"/>
        <w:gridCol w:w="2127"/>
      </w:tblGrid>
      <w:tr w:rsidR="00FB06BB" w:rsidRPr="00B16CEC" w:rsidTr="00410DDA">
        <w:tc>
          <w:tcPr>
            <w:tcW w:w="4644" w:type="dxa"/>
          </w:tcPr>
          <w:p w:rsidR="00FB06BB" w:rsidRPr="007C3DFC" w:rsidRDefault="007C3DFC" w:rsidP="004644FB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268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Declared performance</w:t>
            </w:r>
          </w:p>
        </w:tc>
        <w:tc>
          <w:tcPr>
            <w:tcW w:w="2127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Harmonised standard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proofErr w:type="spellStart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Cleanability</w:t>
            </w:r>
            <w:proofErr w:type="spellEnd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 xml:space="preserve"> (CA)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 w:val="restart"/>
            <w:vAlign w:val="center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EN 14428:2004 + A1:2008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Impact resistance / shatter properties (IR)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A847EC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lang w:val="en-GB"/>
              </w:rPr>
            </w:pP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Durability (DA)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B11B8" w:rsidRPr="00B16CEC" w:rsidRDefault="000B11B8" w:rsidP="000B11B8">
      <w:pPr>
        <w:rPr>
          <w:sz w:val="18"/>
          <w:szCs w:val="18"/>
          <w:lang w:val="en-GB"/>
        </w:rPr>
      </w:pPr>
    </w:p>
    <w:p w:rsidR="00B16CEC" w:rsidRPr="00B16CEC" w:rsidRDefault="00B16CEC" w:rsidP="00B16CEC">
      <w:pPr>
        <w:spacing w:before="75" w:after="75"/>
        <w:ind w:right="22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b/>
          <w:lang w:val="en-GB"/>
        </w:rPr>
        <w:t>10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The performance of the product identified in points 1 and 2 is in conformity with the declared performance in point 9.</w:t>
      </w:r>
    </w:p>
    <w:p w:rsidR="00B16CEC" w:rsidRPr="00B16CEC" w:rsidRDefault="00B16CEC" w:rsidP="00B16CEC">
      <w:pPr>
        <w:spacing w:before="75" w:after="75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This declaration of performance is issued under the sole responsibility of the manufacturer identified in point 4.</w:t>
      </w:r>
    </w:p>
    <w:p w:rsidR="00B16CEC" w:rsidRPr="00B16CEC" w:rsidRDefault="00B16CEC" w:rsidP="00B16CEC">
      <w:pPr>
        <w:spacing w:before="75" w:after="150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Signed for and on behalf of the manufacturer by:</w:t>
      </w:r>
    </w:p>
    <w:p w:rsidR="00B16CEC" w:rsidRPr="00B16CEC" w:rsidRDefault="00B16CEC" w:rsidP="00B16CEC">
      <w:pPr>
        <w:spacing w:before="75" w:after="150" w:line="240" w:lineRule="auto"/>
        <w:ind w:left="675"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</w:p>
    <w:p w:rsidR="00C974AB" w:rsidRPr="00B16CEC" w:rsidRDefault="00B16CEC" w:rsidP="00B16CEC">
      <w:pPr>
        <w:ind w:left="3912" w:firstLine="1304"/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(name and function)</w:t>
      </w:r>
    </w:p>
    <w:p w:rsidR="00C974AB" w:rsidRPr="00B16CEC" w:rsidRDefault="00B16CEC" w:rsidP="00C974AB">
      <w:pPr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(place and date of issue)</w:t>
      </w:r>
      <w:r w:rsidR="00AC79EB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(signature)</w:t>
      </w:r>
    </w:p>
    <w:p w:rsidR="00DC5B9A" w:rsidRPr="00B16CEC" w:rsidRDefault="00C974AB" w:rsidP="00C974AB">
      <w:pPr>
        <w:rPr>
          <w:lang w:val="en-GB"/>
        </w:rPr>
      </w:pPr>
      <w:r w:rsidRPr="00B16CEC">
        <w:rPr>
          <w:lang w:val="en-GB"/>
        </w:rPr>
        <w:t>…………………………………………………………………</w:t>
      </w:r>
      <w:r w:rsidRPr="00B16CEC">
        <w:rPr>
          <w:lang w:val="en-GB"/>
        </w:rPr>
        <w:tab/>
      </w:r>
      <w:r w:rsidRPr="00B16CEC">
        <w:rPr>
          <w:lang w:val="en-GB"/>
        </w:rPr>
        <w:tab/>
        <w:t>………………………………………………………………………</w:t>
      </w:r>
    </w:p>
    <w:sectPr w:rsidR="00DC5B9A" w:rsidRPr="00B16CEC" w:rsidSect="000D2992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FC" w:rsidRDefault="008542FC" w:rsidP="00CA01CB">
      <w:pPr>
        <w:spacing w:after="0" w:line="240" w:lineRule="auto"/>
      </w:pPr>
      <w:r>
        <w:separator/>
      </w:r>
    </w:p>
  </w:endnote>
  <w:endnote w:type="continuationSeparator" w:id="0">
    <w:p w:rsidR="008542FC" w:rsidRDefault="008542FC" w:rsidP="00CA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FC" w:rsidRPr="000E1E23" w:rsidRDefault="00C73D44">
    <w:pPr>
      <w:pStyle w:val="Sidefod"/>
      <w:rPr>
        <w:lang w:val="en-US"/>
      </w:rPr>
    </w:pPr>
    <w:r>
      <w:rPr>
        <w:lang w:val="en-US"/>
      </w:rPr>
      <w:t>Declaration of Performance</w:t>
    </w:r>
    <w:r w:rsidR="007C3DFC" w:rsidRPr="00CA01CB">
      <w:rPr>
        <w:lang w:val="en-US"/>
      </w:rPr>
      <w:t xml:space="preserve"> (DoP)</w:t>
    </w:r>
    <w:r w:rsidR="007C3DFC">
      <w:ptab w:relativeTo="margin" w:alignment="center" w:leader="none"/>
    </w:r>
    <w:r w:rsidR="007C3DFC" w:rsidRPr="00CA01CB">
      <w:rPr>
        <w:lang w:val="en-US"/>
      </w:rPr>
      <w:t>N</w:t>
    </w:r>
    <w:r>
      <w:rPr>
        <w:lang w:val="en-US"/>
      </w:rPr>
      <w:t>o</w:t>
    </w:r>
    <w:r w:rsidR="007C3DFC" w:rsidRPr="00CA01CB">
      <w:rPr>
        <w:lang w:val="en-US"/>
      </w:rPr>
      <w:t>.</w:t>
    </w:r>
    <w:r w:rsidR="007C3DFC">
      <w:rPr>
        <w:lang w:val="en-US"/>
      </w:rPr>
      <w:t xml:space="preserve"> </w:t>
    </w:r>
    <w:r w:rsidR="00A847EC">
      <w:rPr>
        <w:lang w:val="en-US"/>
      </w:rPr>
      <w:t>MIK 0001</w:t>
    </w:r>
    <w:r w:rsidR="007C3DFC">
      <w:ptab w:relativeTo="margin" w:alignment="right" w:leader="none"/>
    </w:r>
    <w:r>
      <w:rPr>
        <w:lang w:val="en-US"/>
      </w:rPr>
      <w:t>Page</w:t>
    </w:r>
    <w:r w:rsidR="007C3DFC" w:rsidRPr="000E1E23">
      <w:rPr>
        <w:lang w:val="en-US"/>
      </w:rPr>
      <w:t xml:space="preserve">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PAGE  \* Arabic  \* MERGEFORMAT</w:instrText>
    </w:r>
    <w:r w:rsidR="007C3DFC">
      <w:rPr>
        <w:b/>
      </w:rPr>
      <w:fldChar w:fldCharType="separate"/>
    </w:r>
    <w:r w:rsidR="00A538AB">
      <w:rPr>
        <w:b/>
        <w:noProof/>
        <w:lang w:val="en-US"/>
      </w:rPr>
      <w:t>1</w:t>
    </w:r>
    <w:r w:rsidR="007C3DFC">
      <w:rPr>
        <w:b/>
      </w:rPr>
      <w:fldChar w:fldCharType="end"/>
    </w:r>
    <w:r w:rsidR="007C3DFC" w:rsidRPr="000E1E23">
      <w:rPr>
        <w:lang w:val="en-US"/>
      </w:rPr>
      <w:t xml:space="preserve"> </w:t>
    </w:r>
    <w:r>
      <w:rPr>
        <w:lang w:val="en-US"/>
      </w:rPr>
      <w:t>o</w:t>
    </w:r>
    <w:r w:rsidR="007C3DFC" w:rsidRPr="000E1E23">
      <w:rPr>
        <w:lang w:val="en-US"/>
      </w:rPr>
      <w:t xml:space="preserve">f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NUMPAGES  \* Arabic  \* MERGEFORMAT</w:instrText>
    </w:r>
    <w:r w:rsidR="007C3DFC">
      <w:rPr>
        <w:b/>
      </w:rPr>
      <w:fldChar w:fldCharType="separate"/>
    </w:r>
    <w:r w:rsidR="00A538AB">
      <w:rPr>
        <w:b/>
        <w:noProof/>
        <w:lang w:val="en-US"/>
      </w:rPr>
      <w:t>2</w:t>
    </w:r>
    <w:r w:rsidR="007C3DF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FC" w:rsidRDefault="008542FC" w:rsidP="00CA01CB">
      <w:pPr>
        <w:spacing w:after="0" w:line="240" w:lineRule="auto"/>
      </w:pPr>
      <w:r>
        <w:separator/>
      </w:r>
    </w:p>
  </w:footnote>
  <w:footnote w:type="continuationSeparator" w:id="0">
    <w:p w:rsidR="008542FC" w:rsidRDefault="008542FC" w:rsidP="00CA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A26"/>
    <w:multiLevelType w:val="hybridMultilevel"/>
    <w:tmpl w:val="B44A0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5"/>
    <w:rsid w:val="000020F3"/>
    <w:rsid w:val="0003347F"/>
    <w:rsid w:val="000355AF"/>
    <w:rsid w:val="00045776"/>
    <w:rsid w:val="00056D9F"/>
    <w:rsid w:val="000621AC"/>
    <w:rsid w:val="000B06FE"/>
    <w:rsid w:val="000B11B8"/>
    <w:rsid w:val="000B2DE9"/>
    <w:rsid w:val="000B55FD"/>
    <w:rsid w:val="000B67FB"/>
    <w:rsid w:val="000D2992"/>
    <w:rsid w:val="000D39C5"/>
    <w:rsid w:val="000D53B0"/>
    <w:rsid w:val="000D74E8"/>
    <w:rsid w:val="000E1E23"/>
    <w:rsid w:val="000E774F"/>
    <w:rsid w:val="001326C4"/>
    <w:rsid w:val="0014759F"/>
    <w:rsid w:val="0016645E"/>
    <w:rsid w:val="00185663"/>
    <w:rsid w:val="001B68B4"/>
    <w:rsid w:val="001D24ED"/>
    <w:rsid w:val="001D6097"/>
    <w:rsid w:val="00220D78"/>
    <w:rsid w:val="00223FEA"/>
    <w:rsid w:val="00245220"/>
    <w:rsid w:val="00263931"/>
    <w:rsid w:val="002762CC"/>
    <w:rsid w:val="002771A8"/>
    <w:rsid w:val="002B21C5"/>
    <w:rsid w:val="002B2CAC"/>
    <w:rsid w:val="002F4484"/>
    <w:rsid w:val="00303404"/>
    <w:rsid w:val="00324C5A"/>
    <w:rsid w:val="00331CF6"/>
    <w:rsid w:val="00341304"/>
    <w:rsid w:val="0034543A"/>
    <w:rsid w:val="00356CDF"/>
    <w:rsid w:val="0037586C"/>
    <w:rsid w:val="00382886"/>
    <w:rsid w:val="003D14C8"/>
    <w:rsid w:val="003D24B1"/>
    <w:rsid w:val="003E000D"/>
    <w:rsid w:val="003E6AA3"/>
    <w:rsid w:val="00410DDA"/>
    <w:rsid w:val="004336F7"/>
    <w:rsid w:val="004644FB"/>
    <w:rsid w:val="0047172F"/>
    <w:rsid w:val="004759A6"/>
    <w:rsid w:val="0047715F"/>
    <w:rsid w:val="00483795"/>
    <w:rsid w:val="004B1BA5"/>
    <w:rsid w:val="004C0B7B"/>
    <w:rsid w:val="004D7DD7"/>
    <w:rsid w:val="004E26F8"/>
    <w:rsid w:val="004E429D"/>
    <w:rsid w:val="005060FC"/>
    <w:rsid w:val="00583B03"/>
    <w:rsid w:val="00586675"/>
    <w:rsid w:val="005877F7"/>
    <w:rsid w:val="005947DF"/>
    <w:rsid w:val="005A63F9"/>
    <w:rsid w:val="005B1752"/>
    <w:rsid w:val="005B47A8"/>
    <w:rsid w:val="005D1C95"/>
    <w:rsid w:val="005E29B1"/>
    <w:rsid w:val="005F0DA3"/>
    <w:rsid w:val="005F214D"/>
    <w:rsid w:val="006247BB"/>
    <w:rsid w:val="00663EE2"/>
    <w:rsid w:val="00665B2B"/>
    <w:rsid w:val="006A69EB"/>
    <w:rsid w:val="006C77E9"/>
    <w:rsid w:val="006D2863"/>
    <w:rsid w:val="006D6586"/>
    <w:rsid w:val="006E3D73"/>
    <w:rsid w:val="00724E4C"/>
    <w:rsid w:val="007400D7"/>
    <w:rsid w:val="00752338"/>
    <w:rsid w:val="00783849"/>
    <w:rsid w:val="007C3DFC"/>
    <w:rsid w:val="007F2827"/>
    <w:rsid w:val="008077DB"/>
    <w:rsid w:val="008542FC"/>
    <w:rsid w:val="00857663"/>
    <w:rsid w:val="008617B9"/>
    <w:rsid w:val="008B7C0F"/>
    <w:rsid w:val="008C3EA8"/>
    <w:rsid w:val="008C5B3F"/>
    <w:rsid w:val="008C6E68"/>
    <w:rsid w:val="008D69AC"/>
    <w:rsid w:val="008F0ECE"/>
    <w:rsid w:val="008F7324"/>
    <w:rsid w:val="00913BE3"/>
    <w:rsid w:val="00942B6D"/>
    <w:rsid w:val="009461CD"/>
    <w:rsid w:val="00947DB5"/>
    <w:rsid w:val="0095383D"/>
    <w:rsid w:val="009544A1"/>
    <w:rsid w:val="0099153A"/>
    <w:rsid w:val="00995AFF"/>
    <w:rsid w:val="009B76FA"/>
    <w:rsid w:val="009D3DF8"/>
    <w:rsid w:val="00A3637A"/>
    <w:rsid w:val="00A44487"/>
    <w:rsid w:val="00A46586"/>
    <w:rsid w:val="00A538AB"/>
    <w:rsid w:val="00A6649D"/>
    <w:rsid w:val="00A77E68"/>
    <w:rsid w:val="00A847EC"/>
    <w:rsid w:val="00A85AF3"/>
    <w:rsid w:val="00A958C1"/>
    <w:rsid w:val="00AC79EB"/>
    <w:rsid w:val="00AD4998"/>
    <w:rsid w:val="00AE0D3B"/>
    <w:rsid w:val="00AF5435"/>
    <w:rsid w:val="00B16CEC"/>
    <w:rsid w:val="00B205FC"/>
    <w:rsid w:val="00B4357E"/>
    <w:rsid w:val="00B53E98"/>
    <w:rsid w:val="00B9289B"/>
    <w:rsid w:val="00BC4762"/>
    <w:rsid w:val="00BC4F17"/>
    <w:rsid w:val="00BD7F83"/>
    <w:rsid w:val="00C05E93"/>
    <w:rsid w:val="00C409CA"/>
    <w:rsid w:val="00C45A8E"/>
    <w:rsid w:val="00C621F9"/>
    <w:rsid w:val="00C66A54"/>
    <w:rsid w:val="00C73D44"/>
    <w:rsid w:val="00C80432"/>
    <w:rsid w:val="00C87DAD"/>
    <w:rsid w:val="00C96BD4"/>
    <w:rsid w:val="00C974AB"/>
    <w:rsid w:val="00CA01CB"/>
    <w:rsid w:val="00CC72A9"/>
    <w:rsid w:val="00CC7EFB"/>
    <w:rsid w:val="00CE552F"/>
    <w:rsid w:val="00D449DB"/>
    <w:rsid w:val="00D4635B"/>
    <w:rsid w:val="00D476A7"/>
    <w:rsid w:val="00D53BA9"/>
    <w:rsid w:val="00D82C5C"/>
    <w:rsid w:val="00D86A0B"/>
    <w:rsid w:val="00D87E07"/>
    <w:rsid w:val="00D921EC"/>
    <w:rsid w:val="00DA11BB"/>
    <w:rsid w:val="00DA3EB6"/>
    <w:rsid w:val="00DA4289"/>
    <w:rsid w:val="00DB1857"/>
    <w:rsid w:val="00DC0693"/>
    <w:rsid w:val="00DC37A1"/>
    <w:rsid w:val="00DC5B9A"/>
    <w:rsid w:val="00E4511A"/>
    <w:rsid w:val="00E70CE2"/>
    <w:rsid w:val="00EB0761"/>
    <w:rsid w:val="00ED738B"/>
    <w:rsid w:val="00F27A72"/>
    <w:rsid w:val="00F331DD"/>
    <w:rsid w:val="00F62C85"/>
    <w:rsid w:val="00F759C1"/>
    <w:rsid w:val="00F8373D"/>
    <w:rsid w:val="00F87F60"/>
    <w:rsid w:val="00FB06BB"/>
    <w:rsid w:val="00FD4E12"/>
    <w:rsid w:val="00FD59ED"/>
    <w:rsid w:val="00FE1B31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7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6328-801A-4F7A-A14A-368816EF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Belling Skov</dc:creator>
  <cp:lastModifiedBy>Asbjørn Norre Diinhoff  - Mikelo</cp:lastModifiedBy>
  <cp:revision>5</cp:revision>
  <cp:lastPrinted>2014-02-04T10:55:00Z</cp:lastPrinted>
  <dcterms:created xsi:type="dcterms:W3CDTF">2016-05-26T12:52:00Z</dcterms:created>
  <dcterms:modified xsi:type="dcterms:W3CDTF">2016-05-26T13:55:00Z</dcterms:modified>
</cp:coreProperties>
</file>